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на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октябрь 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«Серебряный возраст » - концерт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«Всемирный день </w:t>
            </w:r>
            <w:hyperlink r:id="rId2" w:tgtFrame="_blank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u w:val="none"/>
                  <w:shd w:fill="FFFFFF" w:val="clear"/>
                  <w:lang w:val="ru-RU" w:eastAsia="en-US" w:bidi="ar-SA"/>
                </w:rPr>
                <w:t>хлеба</w:t>
              </w:r>
            </w:hyperlink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»-познавательный час.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Осенний бал «Королева осени»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«Картофельный банкет»-кулинарный конкурс.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448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ДПИ пенсионеров «Осеннее очарование  2024»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«Строгим и ласковым, мудрым и чутким» -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Силовой экстрим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Бильярд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Классический волейбол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 ритме танца» поселенческий фестиваль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Горячевских Е.М.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«Здравствуй осень золотая»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культурыРусинова Т.Б.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111115"/>
                <w:kern w:val="0"/>
                <w:sz w:val="24"/>
                <w:szCs w:val="24"/>
                <w:lang w:val="ru-RU" w:eastAsia="en-US" w:bidi="ar-SA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«Круг добра»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Вечер отдыха для пожилых людей «Экспресс хорошего настроения».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«Кружева природы». Выставка поделок из природных материалов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«Проступок, правонарушение, преступление» профилактическая беседа для подростков.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Информационная акция «Я выбираю трезвость»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по правилам дорожного движения. «Говорящие знаки». 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«Чтобы сердце и душа были молоды» Праздничный концерт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«Мы с рождения — Россияне!»Познавательный час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стол «Вредным привычкам нет!»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Вечер-встреча «За рукоделием»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Осенние посиделки на Покров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«Слава тебе, сельхозработник!»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Здоров будешь- все забудешь!» Спортивно-развлекательное мероприятие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Игровая программа «Осеннее ассорти»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детского рисунка «До свидания, лето!»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«Закружилась листва золотая»  Вечер отдыха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«Чтобы сердце и душа были молоды» Праздничный концерт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Акция «Твори добро», помощь на домустаршему поколению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«Мудрой осени счастливые мгновенья» Музыкально-развлекательная программа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посвященная Дню пожилого человека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«Вам часть души от благодарных нас» Концертная программа к дню учителя.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«Ни минуты покоя»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Спортивно-развлекательное мероприятие»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«Забавное путешествие» Познавательная игровая программа по ППД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«Покров Пресвятой Богородицы» 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«Мы славим руки золотые» Тематическая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Осенние посиделки на Покров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«Закружилась листва золотая» Осенний бал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«Папа и я – неразлучные друзья» Фотовыставка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«Папа и я» Весёлые старты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«Дети выбирают мир» Беседа о безопасности и терроризме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 xml:space="preserve">Пелымская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«Цикл мероприятий в рамках реализации  социального проекта творческого клуба «7Я» 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 xml:space="preserve">Пелымская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Т.В.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Вечер отдыха для пожилых людей «А жизнь остается прекрасной всегда»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Развлекательная программа для пожилых людей «Чай пить – не дрова рубить»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 «Поздравление пожилых людей  на дому и на улице, вручение подарков»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«Мой папа» посвященный Дню отца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Круглый стол «Сохрани себе жизнь» по профилактике вредных привычек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из природного материала «Осенние фантазии»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Час настольных игр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«Годы комсомольские мои»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Кинодекада «Душою молоды всегда» (ко</w:t>
            </w: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Дню пожилых людей- 1</w:t>
            </w: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октября)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Акция «Поздравим вместе» ко дню учителя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Диско программа «Подари улыбку»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Мастер-класс  Народная кукла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6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Традиции и обряды Покрова  Познавательный час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«Хлеб-всему голова». игра- путешествие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«Папин </w:t>
            </w:r>
            <w:r>
              <w:rPr>
                <w:rFonts w:eastAsia="Calibri" w:cs="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день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календаря» познавательно-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/>
            </w:pPr>
            <w:hyperlink r:id="rId3">
              <w:r>
                <w:rPr>
                  <w:rFonts w:eastAsia="Calibri" w:cs="" w:ascii="Times New Roman" w:hAnsi="Times New Roman"/>
                  <w:color w:val="auto"/>
                  <w:kern w:val="0"/>
                  <w:sz w:val="24"/>
                  <w:szCs w:val="24"/>
                  <w:u w:val="none"/>
                  <w:lang w:val="ru-RU" w:eastAsia="en-US" w:bidi="ar-SA"/>
                </w:rPr>
                <w:t>Акция памяти «День белых журавлей»</w:t>
              </w:r>
            </w:hyperlink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Спортивная программа   «Я могу»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флешмоб «Поем вместе песни юности моей»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 багрец и золото…»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«Примите наши поздравления-автолюбители», акция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прекрасна в возрасте любом» - праздничный концерт к Дню пожилого человека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«Поиски Бабушкиного сундучка» - квест - игра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okrugknig.blogspot.com/2021/10/300.html" TargetMode="External"/><Relationship Id="rId3" Type="http://schemas.openxmlformats.org/officeDocument/2006/relationships/hyperlink" Target="https://kamenolomni.bezformata.com/listnews/pamyati-den-belih-zhuravley/123147678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Application>LibreOffice/7.1.4.2$Windows_X86_64 LibreOffice_project/a529a4fab45b75fefc5b6226684193eb000654f6</Application>
  <AppVersion>15.0000</AppVersion>
  <Pages>4</Pages>
  <Words>831</Words>
  <Characters>5187</Characters>
  <CharactersWithSpaces>5777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2024-04-01T12:32:12Z</cp:lastPrinted>
  <dcterms:modified xsi:type="dcterms:W3CDTF">2024-04-01T12:33:43Z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